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11"/>
        <w:gridCol w:w="1950"/>
        <w:gridCol w:w="1192"/>
        <w:gridCol w:w="1276"/>
        <w:gridCol w:w="1275"/>
        <w:gridCol w:w="1276"/>
        <w:gridCol w:w="1155"/>
        <w:gridCol w:w="1080"/>
        <w:gridCol w:w="1080"/>
        <w:gridCol w:w="1080"/>
        <w:gridCol w:w="1005"/>
        <w:gridCol w:w="75"/>
        <w:gridCol w:w="930"/>
        <w:gridCol w:w="150"/>
        <w:gridCol w:w="1080"/>
      </w:tblGrid>
      <w:tr w:rsidR="008A7C69" w:rsidTr="00A173B4">
        <w:trPr>
          <w:gridAfter w:val="12"/>
          <w:wAfter w:w="11462" w:type="dxa"/>
          <w:cantSplit/>
        </w:trPr>
        <w:tc>
          <w:tcPr>
            <w:tcW w:w="1111" w:type="dxa"/>
            <w:tcBorders>
              <w:top w:val="nil"/>
              <w:left w:val="nil"/>
              <w:bottom w:val="nil"/>
              <w:right w:val="nil"/>
            </w:tcBorders>
          </w:tcPr>
          <w:p w:rsidR="008A7C69" w:rsidRDefault="008A7C69" w:rsidP="00541DCA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ELIM 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8A7C69" w:rsidRDefault="00494CD7" w:rsidP="00541DCA">
            <w:pPr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Y10</w:t>
            </w:r>
            <w:r w:rsidR="008A7C69">
              <w:rPr>
                <w:b/>
                <w:bCs/>
                <w:sz w:val="28"/>
              </w:rPr>
              <w:t xml:space="preserve"> SOC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8A7C69" w:rsidRDefault="008A7C69" w:rsidP="00541DCA">
            <w:pPr>
              <w:rPr>
                <w:b/>
                <w:bCs/>
                <w:sz w:val="28"/>
              </w:rPr>
            </w:pPr>
          </w:p>
        </w:tc>
      </w:tr>
      <w:tr w:rsidR="00C828AD" w:rsidTr="00A173B4">
        <w:tc>
          <w:tcPr>
            <w:tcW w:w="1111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1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C828AD" w:rsidRPr="007D547B" w:rsidRDefault="00C828AD" w:rsidP="00C828AD">
            <w:pPr>
              <w:pStyle w:val="Heading1"/>
              <w:spacing w:before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192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One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28 Jan – 1 Feb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Two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Feb – 8 Feb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Three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Feb – 15 Feb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Four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Feb - 22 Feb</w:t>
            </w:r>
          </w:p>
        </w:tc>
        <w:tc>
          <w:tcPr>
            <w:tcW w:w="1155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Five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Feb – 1 Mar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Six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Mar –8  Mar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Seven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Mar – 15 Mar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Eight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Mar – 22 Mar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Nine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Mar – 29 Mar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:rsidR="00C828AD" w:rsidRDefault="00C828AD" w:rsidP="00C828AD">
            <w:pPr>
              <w:pStyle w:val="Heading1"/>
              <w:spacing w:before="20"/>
            </w:pPr>
            <w:r>
              <w:t>Week Ten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 Apr – 5 Apr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C828AD" w:rsidRPr="00823223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Eleven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8 Apr – 12 Apr</w:t>
            </w:r>
          </w:p>
        </w:tc>
      </w:tr>
      <w:tr w:rsidR="00C828AD" w:rsidTr="00A173B4">
        <w:trPr>
          <w:cantSplit/>
          <w:trHeight w:val="738"/>
        </w:trPr>
        <w:tc>
          <w:tcPr>
            <w:tcW w:w="1111" w:type="dxa"/>
            <w:vMerge w:val="restart"/>
            <w:shd w:val="clear" w:color="auto" w:fill="C0C0C0"/>
          </w:tcPr>
          <w:p w:rsidR="00C828AD" w:rsidRDefault="00C828AD" w:rsidP="00C828AD">
            <w:pPr>
              <w:jc w:val="center"/>
              <w:rPr>
                <w:b/>
                <w:bCs/>
                <w:sz w:val="20"/>
              </w:rPr>
            </w:pPr>
          </w:p>
          <w:p w:rsidR="00C828AD" w:rsidRDefault="00C828AD" w:rsidP="00C828AD">
            <w:pPr>
              <w:jc w:val="center"/>
              <w:rPr>
                <w:b/>
                <w:bCs/>
                <w:sz w:val="20"/>
              </w:rPr>
            </w:pPr>
          </w:p>
          <w:p w:rsidR="00C828AD" w:rsidRDefault="00C828AD" w:rsidP="00C828AD">
            <w:pPr>
              <w:pStyle w:val="Heading2"/>
            </w:pPr>
          </w:p>
          <w:p w:rsidR="00C828AD" w:rsidRDefault="00C828AD" w:rsidP="00C828AD">
            <w:pPr>
              <w:pStyle w:val="Heading2"/>
            </w:pPr>
            <w:r>
              <w:t>Content</w:t>
            </w:r>
          </w:p>
          <w:p w:rsidR="00C828AD" w:rsidRDefault="00C828AD" w:rsidP="00C828AD">
            <w:pPr>
              <w:jc w:val="center"/>
              <w:rPr>
                <w:b/>
                <w:bCs/>
                <w:sz w:val="20"/>
              </w:rPr>
            </w:pPr>
          </w:p>
          <w:p w:rsidR="00C828AD" w:rsidRDefault="00C828AD" w:rsidP="00C828AD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C828AD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192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</w:p>
          <w:p w:rsidR="00C828AD" w:rsidRPr="00E005F1" w:rsidRDefault="00C828AD" w:rsidP="00C828AD">
            <w:pPr>
              <w:spacing w:before="20"/>
              <w:rPr>
                <w:b/>
                <w:sz w:val="14"/>
              </w:rPr>
            </w:pPr>
            <w:r>
              <w:rPr>
                <w:b/>
                <w:sz w:val="14"/>
              </w:rPr>
              <w:t>Mon 28</w:t>
            </w:r>
            <w:r w:rsidRPr="00A53471">
              <w:rPr>
                <w:b/>
                <w:sz w:val="14"/>
                <w:vertAlign w:val="superscript"/>
              </w:rPr>
              <w:t>th</w:t>
            </w:r>
            <w:r>
              <w:rPr>
                <w:b/>
                <w:sz w:val="14"/>
              </w:rPr>
              <w:t xml:space="preserve"> Jan</w:t>
            </w:r>
          </w:p>
          <w:p w:rsidR="00C828AD" w:rsidRPr="00E005F1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  <w:r w:rsidRPr="00E005F1">
              <w:rPr>
                <w:b/>
                <w:sz w:val="14"/>
              </w:rPr>
              <w:t>Anniversary Day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Teacher Only days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</w:p>
          <w:p w:rsidR="00C828AD" w:rsidRPr="00E005F1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6</w:t>
            </w:r>
            <w:r w:rsidRPr="00E005F1">
              <w:rPr>
                <w:b/>
                <w:sz w:val="14"/>
                <w:vertAlign w:val="superscript"/>
              </w:rPr>
              <w:t>th</w:t>
            </w:r>
            <w:r w:rsidRPr="00E005F1">
              <w:rPr>
                <w:b/>
                <w:sz w:val="14"/>
              </w:rPr>
              <w:t xml:space="preserve"> Feb Waitangi Day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Students start 4 Feb</w:t>
            </w: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C828AD" w:rsidRPr="00193984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Pr="00193984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Pr="002F1826" w:rsidRDefault="00C828AD" w:rsidP="00C828AD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  <w:right w:val="single" w:sz="4" w:space="0" w:color="auto"/>
            </w:tcBorders>
          </w:tcPr>
          <w:p w:rsidR="00C828AD" w:rsidRDefault="00C828AD" w:rsidP="00C828AD">
            <w:pPr>
              <w:spacing w:before="20"/>
              <w:jc w:val="center"/>
              <w:rPr>
                <w:sz w:val="14"/>
              </w:rPr>
            </w:pPr>
          </w:p>
          <w:p w:rsidR="00C828AD" w:rsidRPr="00911666" w:rsidRDefault="00C828AD" w:rsidP="00C828AD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Daylight Saving Ends</w:t>
            </w:r>
          </w:p>
        </w:tc>
      </w:tr>
      <w:tr w:rsidR="008A7C69" w:rsidTr="00A173B4">
        <w:trPr>
          <w:cantSplit/>
        </w:trPr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8A7C69" w:rsidRDefault="008A7C69" w:rsidP="008A7C69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8A7C69" w:rsidRDefault="008A7C69" w:rsidP="008A7C69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Introduction</w:t>
            </w:r>
          </w:p>
          <w:p w:rsidR="00382C23" w:rsidRDefault="00382C23" w:rsidP="00382C23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Research</w:t>
            </w:r>
            <w:r w:rsidR="00237755">
              <w:rPr>
                <w:sz w:val="14"/>
              </w:rPr>
              <w:t xml:space="preserve"> </w:t>
            </w:r>
          </w:p>
          <w:p w:rsidR="008A7C69" w:rsidRDefault="008A7C69" w:rsidP="008A7C69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top w:val="dashed" w:sz="8" w:space="0" w:color="auto"/>
              <w:bottom w:val="single" w:sz="4" w:space="0" w:color="auto"/>
            </w:tcBorders>
          </w:tcPr>
          <w:p w:rsidR="00382C23" w:rsidRDefault="00382C23" w:rsidP="008A7C69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Identity Speech</w:t>
            </w:r>
          </w:p>
          <w:p w:rsidR="00C828AD" w:rsidRDefault="00C828AD" w:rsidP="008A7C69">
            <w:pPr>
              <w:spacing w:before="20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Mihi</w:t>
            </w:r>
            <w:proofErr w:type="spellEnd"/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155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8A7C69" w:rsidRDefault="008A7C69" w:rsidP="008A7C69">
            <w:r w:rsidRPr="003B6BF5">
              <w:rPr>
                <w:sz w:val="14"/>
              </w:rPr>
              <w:t>ANZACS/War</w:t>
            </w:r>
          </w:p>
        </w:tc>
      </w:tr>
      <w:tr w:rsidR="008A7C69" w:rsidTr="00A173B4">
        <w:tc>
          <w:tcPr>
            <w:tcW w:w="1111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8A7C69" w:rsidRDefault="008A7C69" w:rsidP="00541DCA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c>
          <w:tcPr>
            <w:tcW w:w="1111" w:type="dxa"/>
          </w:tcPr>
          <w:p w:rsidR="00A173B4" w:rsidRDefault="00A173B4" w:rsidP="00A173B4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2</w:t>
            </w:r>
          </w:p>
        </w:tc>
        <w:tc>
          <w:tcPr>
            <w:tcW w:w="1950" w:type="dxa"/>
          </w:tcPr>
          <w:p w:rsidR="00A173B4" w:rsidRDefault="00A173B4" w:rsidP="00A173B4">
            <w:pPr>
              <w:pStyle w:val="Heading1"/>
              <w:spacing w:before="20"/>
            </w:pPr>
          </w:p>
        </w:tc>
        <w:tc>
          <w:tcPr>
            <w:tcW w:w="1192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One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29 April – 2 May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Two</w:t>
            </w:r>
          </w:p>
          <w:p w:rsidR="00A173B4" w:rsidRPr="000D5555" w:rsidRDefault="00A173B4" w:rsidP="00A173B4">
            <w:pPr>
              <w:spacing w:before="2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 May</w:t>
            </w:r>
            <w:r w:rsidRPr="000D5555">
              <w:rPr>
                <w:sz w:val="14"/>
                <w:szCs w:val="14"/>
              </w:rPr>
              <w:t xml:space="preserve"> – </w:t>
            </w:r>
            <w:r>
              <w:rPr>
                <w:sz w:val="14"/>
                <w:szCs w:val="14"/>
              </w:rPr>
              <w:t>10</w:t>
            </w:r>
            <w:r w:rsidRPr="000D5555">
              <w:rPr>
                <w:sz w:val="14"/>
                <w:szCs w:val="14"/>
              </w:rPr>
              <w:t xml:space="preserve"> May</w:t>
            </w:r>
          </w:p>
        </w:tc>
        <w:tc>
          <w:tcPr>
            <w:tcW w:w="127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Three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13 May</w:t>
            </w:r>
            <w:r>
              <w:rPr>
                <w:w w:val="80"/>
                <w:sz w:val="14"/>
              </w:rPr>
              <w:t xml:space="preserve"> – 17</w:t>
            </w:r>
            <w:r>
              <w:rPr>
                <w:w w:val="90"/>
                <w:sz w:val="14"/>
              </w:rPr>
              <w:t xml:space="preserve"> </w:t>
            </w:r>
            <w:r>
              <w:rPr>
                <w:sz w:val="14"/>
              </w:rPr>
              <w:t>May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Four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20 May</w:t>
            </w:r>
            <w:r>
              <w:rPr>
                <w:w w:val="80"/>
                <w:sz w:val="14"/>
              </w:rPr>
              <w:t xml:space="preserve"> – </w:t>
            </w:r>
            <w:r>
              <w:rPr>
                <w:sz w:val="14"/>
              </w:rPr>
              <w:t>24 May</w:t>
            </w:r>
          </w:p>
        </w:tc>
        <w:tc>
          <w:tcPr>
            <w:tcW w:w="115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Five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27</w:t>
            </w:r>
            <w:r w:rsidRPr="000D5555">
              <w:rPr>
                <w:sz w:val="14"/>
              </w:rPr>
              <w:t xml:space="preserve"> May</w:t>
            </w:r>
            <w:r>
              <w:rPr>
                <w:w w:val="80"/>
                <w:sz w:val="14"/>
              </w:rPr>
              <w:t xml:space="preserve"> – 31 May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Six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3 Jun – 7 Jun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Seven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10 Jun – 14 Jun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Eight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17 Jun – 21 Jun</w:t>
            </w:r>
          </w:p>
        </w:tc>
        <w:tc>
          <w:tcPr>
            <w:tcW w:w="1080" w:type="dxa"/>
            <w:gridSpan w:val="2"/>
          </w:tcPr>
          <w:p w:rsidR="00A173B4" w:rsidRDefault="00A173B4" w:rsidP="00A173B4">
            <w:pPr>
              <w:pStyle w:val="Heading1"/>
              <w:spacing w:before="20"/>
            </w:pPr>
            <w:r>
              <w:t>Week Nine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24 Jun – 28 Jun</w:t>
            </w:r>
          </w:p>
        </w:tc>
        <w:tc>
          <w:tcPr>
            <w:tcW w:w="1080" w:type="dxa"/>
            <w:gridSpan w:val="2"/>
          </w:tcPr>
          <w:p w:rsidR="00A173B4" w:rsidRPr="000827AA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 w:rsidRPr="000827AA">
              <w:rPr>
                <w:b/>
                <w:sz w:val="14"/>
              </w:rPr>
              <w:t>Week Ten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 Jul – 5 Jul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Pr="00564D2C" w:rsidRDefault="00A173B4" w:rsidP="00A173B4">
            <w:pPr>
              <w:spacing w:before="20"/>
              <w:rPr>
                <w:b/>
                <w:sz w:val="14"/>
              </w:rPr>
            </w:pPr>
          </w:p>
        </w:tc>
      </w:tr>
      <w:tr w:rsidR="00A173B4" w:rsidTr="00A173B4">
        <w:trPr>
          <w:cantSplit/>
          <w:trHeight w:val="818"/>
        </w:trPr>
        <w:tc>
          <w:tcPr>
            <w:tcW w:w="1111" w:type="dxa"/>
            <w:vMerge w:val="restart"/>
            <w:shd w:val="clear" w:color="auto" w:fill="C0C0C0"/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Content</w:t>
            </w: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Pr="00193984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3</w:t>
            </w:r>
            <w:r w:rsidRPr="00017671">
              <w:rPr>
                <w:b/>
                <w:sz w:val="14"/>
                <w:vertAlign w:val="superscript"/>
              </w:rPr>
              <w:t>rd</w:t>
            </w:r>
            <w:r>
              <w:rPr>
                <w:b/>
                <w:sz w:val="14"/>
              </w:rPr>
              <w:t xml:space="preserve"> </w:t>
            </w:r>
            <w:r w:rsidRPr="00193984">
              <w:rPr>
                <w:b/>
                <w:sz w:val="14"/>
              </w:rPr>
              <w:t>Jun Queens Birthday</w:t>
            </w: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rPr>
          <w:cantSplit/>
        </w:trPr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27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15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Special Places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r>
              <w:rPr>
                <w:sz w:val="14"/>
              </w:rPr>
              <w:t>Mini Unit – Church History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Mini Unit – Church History</w:t>
            </w:r>
          </w:p>
        </w:tc>
        <w:tc>
          <w:tcPr>
            <w:tcW w:w="108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c>
          <w:tcPr>
            <w:tcW w:w="1111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c>
          <w:tcPr>
            <w:tcW w:w="1111" w:type="dxa"/>
          </w:tcPr>
          <w:p w:rsidR="00A173B4" w:rsidRDefault="00A173B4" w:rsidP="00A173B4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3</w:t>
            </w:r>
          </w:p>
        </w:tc>
        <w:tc>
          <w:tcPr>
            <w:tcW w:w="1950" w:type="dxa"/>
          </w:tcPr>
          <w:p w:rsidR="00A173B4" w:rsidRDefault="00A173B4" w:rsidP="00A173B4">
            <w:pPr>
              <w:pStyle w:val="Heading1"/>
              <w:spacing w:before="20"/>
            </w:pPr>
          </w:p>
        </w:tc>
        <w:tc>
          <w:tcPr>
            <w:tcW w:w="1192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One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22 Jul – 26 Jul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Two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29 Jul – 2 Aug</w:t>
            </w:r>
          </w:p>
        </w:tc>
        <w:tc>
          <w:tcPr>
            <w:tcW w:w="127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Three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5 Aug –9 Aug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Four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12 Aug – 16 Aug</w:t>
            </w:r>
          </w:p>
        </w:tc>
        <w:tc>
          <w:tcPr>
            <w:tcW w:w="115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Five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19 Aug – 23 Aug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Six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26 Aug –30 Aug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Seven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 2 Sep – 6 Sep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Eight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9 Sep – 13 Sep</w:t>
            </w:r>
          </w:p>
        </w:tc>
        <w:tc>
          <w:tcPr>
            <w:tcW w:w="1080" w:type="dxa"/>
            <w:gridSpan w:val="2"/>
          </w:tcPr>
          <w:p w:rsidR="00A173B4" w:rsidRDefault="00A173B4" w:rsidP="00A173B4">
            <w:pPr>
              <w:pStyle w:val="Heading1"/>
              <w:spacing w:before="20"/>
            </w:pPr>
            <w:r>
              <w:t>Week Nine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16 Sep – 20 Sep</w:t>
            </w:r>
          </w:p>
        </w:tc>
        <w:tc>
          <w:tcPr>
            <w:tcW w:w="1080" w:type="dxa"/>
            <w:gridSpan w:val="2"/>
          </w:tcPr>
          <w:p w:rsidR="00A173B4" w:rsidRDefault="00A173B4" w:rsidP="00A173B4">
            <w:pPr>
              <w:spacing w:before="20"/>
              <w:rPr>
                <w:b/>
                <w:sz w:val="14"/>
              </w:rPr>
            </w:pPr>
            <w:r>
              <w:rPr>
                <w:b/>
                <w:sz w:val="14"/>
              </w:rPr>
              <w:t>Week Ten</w:t>
            </w:r>
          </w:p>
          <w:p w:rsidR="00A173B4" w:rsidRPr="009B2CFC" w:rsidRDefault="00A173B4" w:rsidP="00A173B4">
            <w:pPr>
              <w:spacing w:before="20"/>
              <w:rPr>
                <w:sz w:val="14"/>
              </w:rPr>
            </w:pPr>
            <w:r w:rsidRPr="009B2CFC">
              <w:rPr>
                <w:sz w:val="14"/>
              </w:rPr>
              <w:t>23 Sept – 27 Sept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rPr>
          <w:cantSplit/>
          <w:trHeight w:val="1234"/>
        </w:trPr>
        <w:tc>
          <w:tcPr>
            <w:tcW w:w="1111" w:type="dxa"/>
            <w:vMerge w:val="restart"/>
            <w:shd w:val="clear" w:color="auto" w:fill="C0C0C0"/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pStyle w:val="Heading2"/>
            </w:pPr>
          </w:p>
          <w:p w:rsidR="00A173B4" w:rsidRDefault="00A173B4" w:rsidP="00A173B4">
            <w:pPr>
              <w:pStyle w:val="Heading2"/>
            </w:pPr>
          </w:p>
          <w:p w:rsidR="00A173B4" w:rsidRDefault="00A173B4" w:rsidP="00A173B4">
            <w:pPr>
              <w:pStyle w:val="Heading2"/>
            </w:pPr>
            <w:r>
              <w:t>Content</w:t>
            </w: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rPr>
          <w:cantSplit/>
        </w:trPr>
        <w:tc>
          <w:tcPr>
            <w:tcW w:w="1111" w:type="dxa"/>
            <w:vMerge/>
            <w:tcBorders>
              <w:bottom w:val="single" w:sz="4" w:space="0" w:color="auto"/>
            </w:tcBorders>
            <w:shd w:val="clear" w:color="auto" w:fill="C0C0C0"/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Mini Unit – Church History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The Influence of Music 1950 - 2019</w:t>
            </w:r>
          </w:p>
        </w:tc>
        <w:tc>
          <w:tcPr>
            <w:tcW w:w="127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15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jc w:val="center"/>
            </w:pPr>
            <w:r w:rsidRPr="002A6D74">
              <w:rPr>
                <w:sz w:val="14"/>
              </w:rPr>
              <w:t>The Influence of Music 1950 - 2019</w:t>
            </w:r>
          </w:p>
        </w:tc>
        <w:tc>
          <w:tcPr>
            <w:tcW w:w="1080" w:type="dxa"/>
            <w:gridSpan w:val="2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dashed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c>
          <w:tcPr>
            <w:tcW w:w="1111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gridSpan w:val="2"/>
            <w:tcBorders>
              <w:left w:val="nil"/>
              <w:bottom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</w:tr>
      <w:tr w:rsidR="00A173B4" w:rsidTr="00A173B4">
        <w:trPr>
          <w:gridAfter w:val="2"/>
          <w:wAfter w:w="1230" w:type="dxa"/>
        </w:trPr>
        <w:tc>
          <w:tcPr>
            <w:tcW w:w="1111" w:type="dxa"/>
          </w:tcPr>
          <w:p w:rsidR="00A173B4" w:rsidRDefault="00A173B4" w:rsidP="00A173B4">
            <w:pPr>
              <w:spacing w:before="1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TERM 4</w:t>
            </w:r>
          </w:p>
        </w:tc>
        <w:tc>
          <w:tcPr>
            <w:tcW w:w="1950" w:type="dxa"/>
          </w:tcPr>
          <w:p w:rsidR="00A173B4" w:rsidRDefault="00A173B4" w:rsidP="00A173B4">
            <w:pPr>
              <w:pStyle w:val="Heading1"/>
              <w:spacing w:before="20"/>
            </w:pPr>
          </w:p>
        </w:tc>
        <w:tc>
          <w:tcPr>
            <w:tcW w:w="1192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One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14 Oct – 18 Oct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Two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21 Oct – 25 Oct</w:t>
            </w:r>
          </w:p>
        </w:tc>
        <w:tc>
          <w:tcPr>
            <w:tcW w:w="127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Three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28 Oct –  1 Nov</w:t>
            </w:r>
          </w:p>
        </w:tc>
        <w:tc>
          <w:tcPr>
            <w:tcW w:w="1276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Four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4 Nov – 8 Nov</w:t>
            </w:r>
          </w:p>
        </w:tc>
        <w:tc>
          <w:tcPr>
            <w:tcW w:w="1155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Five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11 Nov – 15 Nov</w:t>
            </w:r>
          </w:p>
        </w:tc>
        <w:tc>
          <w:tcPr>
            <w:tcW w:w="1080" w:type="dxa"/>
          </w:tcPr>
          <w:p w:rsidR="00A173B4" w:rsidRDefault="00A173B4" w:rsidP="00A173B4">
            <w:pPr>
              <w:pStyle w:val="Heading1"/>
              <w:spacing w:before="20"/>
            </w:pPr>
            <w:r>
              <w:t>Week Six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18 Nov – 22 Nov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A173B4" w:rsidRDefault="00A173B4" w:rsidP="00A173B4">
            <w:pPr>
              <w:pStyle w:val="Heading1"/>
              <w:spacing w:before="20"/>
            </w:pPr>
            <w:r>
              <w:t>Week Seven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25 Nov – 29 Nov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Pr="00A37EFB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Eight</w:t>
            </w:r>
          </w:p>
          <w:p w:rsidR="00A173B4" w:rsidRPr="00373A9A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2 Dec – 6 Dec</w:t>
            </w:r>
          </w:p>
        </w:tc>
        <w:tc>
          <w:tcPr>
            <w:tcW w:w="1005" w:type="dxa"/>
          </w:tcPr>
          <w:p w:rsidR="00A173B4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Nine</w:t>
            </w:r>
          </w:p>
          <w:p w:rsidR="00A173B4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9 Dec – 13 Dec</w:t>
            </w:r>
          </w:p>
        </w:tc>
        <w:tc>
          <w:tcPr>
            <w:tcW w:w="1005" w:type="dxa"/>
            <w:gridSpan w:val="2"/>
          </w:tcPr>
          <w:p w:rsidR="00A173B4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Week Ten</w:t>
            </w:r>
          </w:p>
          <w:p w:rsidR="00A173B4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15 Dec – 20 Dec</w:t>
            </w:r>
          </w:p>
        </w:tc>
      </w:tr>
      <w:tr w:rsidR="00A173B4" w:rsidTr="00A173B4">
        <w:trPr>
          <w:gridAfter w:val="2"/>
          <w:wAfter w:w="1230" w:type="dxa"/>
          <w:cantSplit/>
          <w:trHeight w:val="1479"/>
        </w:trPr>
        <w:tc>
          <w:tcPr>
            <w:tcW w:w="1111" w:type="dxa"/>
            <w:shd w:val="clear" w:color="auto" w:fill="C0C0C0"/>
          </w:tcPr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Content</w:t>
            </w: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  <w:p w:rsidR="00A173B4" w:rsidRDefault="00A173B4" w:rsidP="00A173B4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50" w:type="dxa"/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5" w:type="dxa"/>
            <w:tcBorders>
              <w:bottom w:val="dashed" w:sz="8" w:space="0" w:color="auto"/>
            </w:tcBorders>
          </w:tcPr>
          <w:p w:rsidR="00A173B4" w:rsidRPr="00E005F1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Mon 28</w:t>
            </w:r>
            <w:r w:rsidRPr="00E005F1">
              <w:rPr>
                <w:b/>
                <w:sz w:val="14"/>
                <w:vertAlign w:val="superscript"/>
              </w:rPr>
              <w:t>th</w:t>
            </w:r>
            <w:r w:rsidRPr="00E005F1">
              <w:rPr>
                <w:b/>
                <w:sz w:val="14"/>
              </w:rPr>
              <w:t xml:space="preserve"> Oct</w:t>
            </w:r>
          </w:p>
          <w:p w:rsidR="00A173B4" w:rsidRPr="00E005F1" w:rsidRDefault="00A173B4" w:rsidP="00A173B4">
            <w:pPr>
              <w:spacing w:before="20"/>
              <w:jc w:val="center"/>
              <w:rPr>
                <w:b/>
                <w:sz w:val="14"/>
              </w:rPr>
            </w:pPr>
            <w:proofErr w:type="spellStart"/>
            <w:r w:rsidRPr="00E005F1">
              <w:rPr>
                <w:b/>
                <w:sz w:val="14"/>
              </w:rPr>
              <w:t>Labour</w:t>
            </w:r>
            <w:proofErr w:type="spellEnd"/>
            <w:r w:rsidRPr="00E005F1">
              <w:rPr>
                <w:b/>
                <w:sz w:val="14"/>
              </w:rPr>
              <w:t xml:space="preserve"> Day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276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>Study Leave for Seniors</w:t>
            </w: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155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bottom w:val="dashed" w:sz="8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05" w:type="dxa"/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</w:p>
        </w:tc>
        <w:tc>
          <w:tcPr>
            <w:tcW w:w="1005" w:type="dxa"/>
            <w:gridSpan w:val="2"/>
          </w:tcPr>
          <w:p w:rsidR="00A173B4" w:rsidRDefault="00A173B4" w:rsidP="00A173B4">
            <w:pPr>
              <w:spacing w:before="20"/>
              <w:jc w:val="center"/>
              <w:rPr>
                <w:sz w:val="14"/>
              </w:rPr>
            </w:pPr>
            <w:r>
              <w:rPr>
                <w:sz w:val="14"/>
              </w:rPr>
              <w:t xml:space="preserve">Junior Prize </w:t>
            </w:r>
            <w:proofErr w:type="spellStart"/>
            <w:r>
              <w:rPr>
                <w:sz w:val="14"/>
              </w:rPr>
              <w:t>givings</w:t>
            </w:r>
            <w:proofErr w:type="spellEnd"/>
          </w:p>
        </w:tc>
      </w:tr>
      <w:tr w:rsidR="00A173B4" w:rsidTr="00A173B4">
        <w:trPr>
          <w:gridAfter w:val="1"/>
          <w:wAfter w:w="1080" w:type="dxa"/>
          <w:cantSplit/>
        </w:trPr>
        <w:tc>
          <w:tcPr>
            <w:tcW w:w="1111" w:type="dxa"/>
            <w:tcBorders>
              <w:bottom w:val="single" w:sz="4" w:space="0" w:color="auto"/>
            </w:tcBorders>
            <w:shd w:val="clear" w:color="auto" w:fill="C0C0C0"/>
          </w:tcPr>
          <w:p w:rsidR="00A173B4" w:rsidRDefault="00A173B4" w:rsidP="00A173B4">
            <w:pPr>
              <w:jc w:val="center"/>
              <w:rPr>
                <w:sz w:val="20"/>
              </w:rPr>
            </w:pP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173B4" w:rsidRDefault="00A173B4" w:rsidP="00A173B4">
            <w:pPr>
              <w:jc w:val="center"/>
              <w:rPr>
                <w:sz w:val="14"/>
              </w:rPr>
            </w:pPr>
          </w:p>
        </w:tc>
        <w:tc>
          <w:tcPr>
            <w:tcW w:w="1192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27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276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155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</w:tcBorders>
          </w:tcPr>
          <w:p w:rsidR="00A173B4" w:rsidRDefault="00A173B4" w:rsidP="00A173B4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080" w:type="dxa"/>
            <w:tcBorders>
              <w:top w:val="dashed" w:sz="8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08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3B4" w:rsidRDefault="00A173B4" w:rsidP="00A173B4">
            <w:pPr>
              <w:jc w:val="center"/>
            </w:pPr>
            <w:r>
              <w:rPr>
                <w:sz w:val="14"/>
              </w:rPr>
              <w:t>Project based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3B4" w:rsidRDefault="00A173B4" w:rsidP="00A173B4">
            <w:pPr>
              <w:jc w:val="center"/>
              <w:rPr>
                <w:sz w:val="14"/>
              </w:rPr>
            </w:pPr>
            <w:r>
              <w:rPr>
                <w:sz w:val="14"/>
              </w:rPr>
              <w:t>Project based work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73B4" w:rsidRDefault="00A173B4" w:rsidP="00A173B4">
            <w:pPr>
              <w:rPr>
                <w:sz w:val="14"/>
              </w:rPr>
            </w:pPr>
          </w:p>
        </w:tc>
      </w:tr>
    </w:tbl>
    <w:p w:rsidR="008A7C69" w:rsidRDefault="008A7C69" w:rsidP="008A7C69">
      <w:pPr>
        <w:jc w:val="center"/>
      </w:pPr>
    </w:p>
    <w:p w:rsidR="008A7C69" w:rsidRDefault="008A7C69" w:rsidP="008A7C69"/>
    <w:p w:rsidR="00435890" w:rsidRDefault="00A173B4">
      <w:bookmarkStart w:id="0" w:name="_GoBack"/>
      <w:bookmarkEnd w:id="0"/>
    </w:p>
    <w:sectPr w:rsidR="00435890" w:rsidSect="00A6786E">
      <w:pgSz w:w="16840" w:h="11907" w:orient="landscape" w:code="9"/>
      <w:pgMar w:top="284" w:right="794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47B"/>
    <w:rsid w:val="000D68CA"/>
    <w:rsid w:val="00193984"/>
    <w:rsid w:val="00237755"/>
    <w:rsid w:val="002F1826"/>
    <w:rsid w:val="00382C23"/>
    <w:rsid w:val="003A5CF8"/>
    <w:rsid w:val="00473010"/>
    <w:rsid w:val="00494CD7"/>
    <w:rsid w:val="004B6D4A"/>
    <w:rsid w:val="00564D2C"/>
    <w:rsid w:val="007D547B"/>
    <w:rsid w:val="008A7C69"/>
    <w:rsid w:val="00A173B4"/>
    <w:rsid w:val="00B4492D"/>
    <w:rsid w:val="00C828AD"/>
    <w:rsid w:val="00D81343"/>
    <w:rsid w:val="00DD001C"/>
    <w:rsid w:val="00E71A64"/>
    <w:rsid w:val="00F1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6D624"/>
  <w15:chartTrackingRefBased/>
  <w15:docId w15:val="{FE6CC524-164B-49BB-A023-A8D419AAF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47B"/>
    <w:pPr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D547B"/>
    <w:pPr>
      <w:keepNext/>
      <w:jc w:val="center"/>
      <w:outlineLvl w:val="0"/>
    </w:pPr>
    <w:rPr>
      <w:b/>
      <w:bCs/>
      <w:sz w:val="14"/>
    </w:rPr>
  </w:style>
  <w:style w:type="paragraph" w:styleId="Heading2">
    <w:name w:val="heading 2"/>
    <w:basedOn w:val="Normal"/>
    <w:next w:val="Normal"/>
    <w:link w:val="Heading2Char"/>
    <w:qFormat/>
    <w:rsid w:val="007D547B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D547B"/>
    <w:rPr>
      <w:rFonts w:ascii="Arial" w:eastAsia="Times New Roman" w:hAnsi="Arial" w:cs="Arial"/>
      <w:b/>
      <w:bCs/>
      <w:sz w:val="1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D547B"/>
    <w:rPr>
      <w:rFonts w:ascii="Arial" w:eastAsia="Times New Roman" w:hAnsi="Arial" w:cs="Arial"/>
      <w:b/>
      <w:bCs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3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343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Christian College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Neville Raynes</dc:creator>
  <cp:keywords/>
  <dc:description/>
  <cp:lastModifiedBy>Nev Raynes</cp:lastModifiedBy>
  <cp:revision>3</cp:revision>
  <cp:lastPrinted>2015-12-07T22:36:00Z</cp:lastPrinted>
  <dcterms:created xsi:type="dcterms:W3CDTF">2018-11-12T21:22:00Z</dcterms:created>
  <dcterms:modified xsi:type="dcterms:W3CDTF">2018-11-12T21:29:00Z</dcterms:modified>
</cp:coreProperties>
</file>